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A7" w:rsidRDefault="007120A7" w:rsidP="007120A7">
      <w:pPr>
        <w:jc w:val="distribute"/>
        <w:rPr>
          <w:rFonts w:ascii="標楷體" w:eastAsia="標楷體" w:hAnsi="標楷體"/>
          <w:sz w:val="28"/>
          <w:szCs w:val="28"/>
        </w:rPr>
      </w:pPr>
      <w:r w:rsidRPr="007120A7">
        <w:rPr>
          <w:rFonts w:ascii="標楷體" w:eastAsia="標楷體" w:hAnsi="標楷體" w:hint="eastAsia"/>
          <w:sz w:val="28"/>
          <w:szCs w:val="28"/>
        </w:rPr>
        <w:t>基隆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市</w:t>
      </w:r>
      <w:r w:rsidR="00FC421D">
        <w:rPr>
          <w:rFonts w:ascii="標楷體" w:eastAsia="標楷體" w:hAnsi="標楷體" w:hint="eastAsia"/>
          <w:sz w:val="28"/>
          <w:szCs w:val="28"/>
        </w:rPr>
        <w:t>隆聖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定期評量命審題機制實施要點</w:t>
      </w:r>
    </w:p>
    <w:p w:rsidR="0045798F" w:rsidRPr="007120A7" w:rsidRDefault="0045798F" w:rsidP="007120A7">
      <w:pPr>
        <w:jc w:val="right"/>
        <w:rPr>
          <w:rFonts w:ascii="標楷體" w:eastAsia="標楷體" w:hAnsi="標楷體"/>
          <w:szCs w:val="24"/>
        </w:rPr>
      </w:pPr>
      <w:r w:rsidRPr="007120A7">
        <w:rPr>
          <w:rFonts w:ascii="標楷體" w:eastAsia="標楷體" w:hAnsi="標楷體" w:hint="eastAsia"/>
          <w:szCs w:val="24"/>
        </w:rPr>
        <w:t>11</w:t>
      </w:r>
      <w:r w:rsidR="007120A7" w:rsidRPr="007120A7">
        <w:rPr>
          <w:rFonts w:ascii="標楷體" w:eastAsia="標楷體" w:hAnsi="標楷體"/>
          <w:szCs w:val="24"/>
        </w:rPr>
        <w:t>4.0</w:t>
      </w:r>
      <w:r w:rsidR="00FC421D">
        <w:rPr>
          <w:rFonts w:ascii="標楷體" w:eastAsia="標楷體" w:hAnsi="標楷體" w:hint="eastAsia"/>
          <w:szCs w:val="24"/>
        </w:rPr>
        <w:t>5</w:t>
      </w:r>
      <w:r w:rsidR="007120A7" w:rsidRPr="007120A7">
        <w:rPr>
          <w:rFonts w:ascii="標楷體" w:eastAsia="標楷體" w:hAnsi="標楷體"/>
          <w:szCs w:val="24"/>
        </w:rPr>
        <w:t>.</w:t>
      </w:r>
      <w:r w:rsidR="00FC421D">
        <w:rPr>
          <w:rFonts w:ascii="標楷體" w:eastAsia="標楷體" w:hAnsi="標楷體"/>
          <w:szCs w:val="24"/>
        </w:rPr>
        <w:t>27</w:t>
      </w:r>
      <w:r w:rsidRPr="007120A7">
        <w:rPr>
          <w:rFonts w:ascii="標楷體" w:eastAsia="標楷體" w:hAnsi="標楷體" w:hint="eastAsia"/>
          <w:szCs w:val="24"/>
        </w:rPr>
        <w:t>課發會通過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壹、依據：</w:t>
      </w:r>
    </w:p>
    <w:p w:rsidR="0045798F" w:rsidRDefault="0045798F" w:rsidP="004A037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一、國民小學及國民中學學生成績評量準則。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</w:t>
      </w:r>
      <w:r w:rsidR="007120A7">
        <w:rPr>
          <w:rFonts w:ascii="標楷體" w:eastAsia="標楷體" w:hAnsi="標楷體" w:hint="eastAsia"/>
        </w:rPr>
        <w:t>基隆</w:t>
      </w:r>
      <w:r w:rsidRPr="0045798F">
        <w:rPr>
          <w:rFonts w:ascii="標楷體" w:eastAsia="標楷體" w:hAnsi="標楷體" w:hint="eastAsia"/>
        </w:rPr>
        <w:t>市國民小學及國民中學學生成績評量補充規定。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三、國民中小學教學正常化實施要點</w:t>
      </w:r>
      <w:r w:rsidR="00FC421D">
        <w:rPr>
          <w:rFonts w:ascii="標楷體" w:eastAsia="標楷體" w:hAnsi="標楷體" w:hint="eastAsia"/>
        </w:rPr>
        <w:t>．</w:t>
      </w:r>
    </w:p>
    <w:p w:rsidR="00FC421D" w:rsidRDefault="00FC421D" w:rsidP="00FC421D">
      <w:pPr>
        <w:pStyle w:val="Default"/>
        <w:ind w:firstLineChars="200" w:firstLine="480"/>
        <w:rPr>
          <w:rFonts w:hAnsi="標楷體" w:hint="eastAsia"/>
        </w:rPr>
      </w:pPr>
      <w:r w:rsidRPr="00EC3A5A">
        <w:rPr>
          <w:rFonts w:hAnsi="標楷體"/>
        </w:rPr>
        <w:t>四</w:t>
      </w:r>
      <w:r w:rsidRPr="00EC3A5A">
        <w:rPr>
          <w:rFonts w:hAnsi="標楷體" w:hint="eastAsia"/>
        </w:rPr>
        <w:t>、國民中小學學生學習評量及作業使用生成式人工智慧注意事項</w:t>
      </w:r>
      <w:r>
        <w:rPr>
          <w:rFonts w:hAnsi="標楷體" w:hint="eastAsia"/>
        </w:rPr>
        <w:t>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貳、目的：</w:t>
      </w:r>
    </w:p>
    <w:p w:rsidR="0045798F" w:rsidRDefault="0045798F" w:rsidP="004A037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一、維持定</w:t>
      </w:r>
      <w:bookmarkStart w:id="0" w:name="_GoBack"/>
      <w:bookmarkEnd w:id="0"/>
      <w:r w:rsidRPr="0045798F">
        <w:rPr>
          <w:rFonts w:ascii="標楷體" w:eastAsia="標楷體" w:hAnsi="標楷體" w:hint="eastAsia"/>
        </w:rPr>
        <w:t>期評量合乎專業性、診斷性、公平性、規範性及保密性。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二、落實定期評量之審題機制，並遵守迴避原則。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參、命題與審題原則：</w:t>
      </w:r>
    </w:p>
    <w:p w:rsidR="007120A7" w:rsidRDefault="0045798F" w:rsidP="00FC421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一、命題原則：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(一)命題應秉持專業，依據課程教學計畫進度、範圍及課網規定進行命題，並試題內容兼顧知識、理解、應用、分析、綜合、評鑑等層面。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(二)命題時不得直接使用題庫或引用坊間試題，並避免與考古題雷同，以維護試題品質與適性。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(三)命題務必兼顧難易度、鑑別度及適當的配分，並兼顧學生作答之時間。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(四)試題敘述應簡潔明確，並符合學生認知程度並融入素養導向及生活情境。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(五)試題應避免含有性別歧視、族群歧視或其他意識形態等爭議性題目。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(六)避免有爭論的答案出現、避免直接抄襲課本某句話。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(七)試題（或選項）中，宜避免有暗示性的答案。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(八)命題教師應妥善存放試題資料，以防試題外洩，且本校全體教職員工，皆應嚴守評量試題之保密，以維護學生評量成績之公平性。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(九)由命題教師親自於評量日兩週前將試卷、英語聽力電子檔(Word、PDF及mp3檔)繳交至</w:t>
      </w:r>
      <w:r w:rsidR="001A0110">
        <w:rPr>
          <w:rFonts w:ascii="標楷體" w:eastAsia="標楷體" w:hAnsi="標楷體" w:hint="eastAsia"/>
        </w:rPr>
        <w:t>教導</w:t>
      </w:r>
      <w:r w:rsidRPr="0045798F">
        <w:rPr>
          <w:rFonts w:ascii="標楷體" w:eastAsia="標楷體" w:hAnsi="標楷體" w:hint="eastAsia"/>
        </w:rPr>
        <w:t>處</w:t>
      </w:r>
      <w:r w:rsidR="00BA1C07">
        <w:rPr>
          <w:rFonts w:ascii="標楷體" w:eastAsia="標楷體" w:hAnsi="標楷體" w:hint="eastAsia"/>
        </w:rPr>
        <w:t>教務組</w:t>
      </w:r>
      <w:r w:rsidR="00BA1C07" w:rsidRPr="0045798F">
        <w:rPr>
          <w:rFonts w:ascii="標楷體" w:eastAsia="標楷體" w:hAnsi="標楷體" w:hint="eastAsia"/>
        </w:rPr>
        <w:t>，並將試卷及試卷答案上傳至</w:t>
      </w:r>
      <w:r w:rsidR="00BA1C07">
        <w:rPr>
          <w:rFonts w:ascii="標楷體" w:eastAsia="標楷體" w:hAnsi="標楷體" w:hint="eastAsia"/>
        </w:rPr>
        <w:t>教務組</w:t>
      </w:r>
      <w:r w:rsidR="00BA1C07">
        <w:rPr>
          <w:rFonts w:ascii="標楷體" w:eastAsia="標楷體" w:hAnsi="標楷體" w:hint="eastAsia"/>
        </w:rPr>
        <w:t>雲端系統。</w:t>
      </w:r>
    </w:p>
    <w:p w:rsidR="0045798F" w:rsidRDefault="0045798F" w:rsidP="00FC421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二、審題原則：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(一)審題教師依據下列原則，進行審核：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1.命題範圍應符合教學進度。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lastRenderedPageBreak/>
        <w:t>2.試題的敘述應清楚，力求選項完整無誤，避免錯別字。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3.判斷題目內容的難易度是否適當。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4.檢查原稿附圖是否清晰易判讀，且配合題意。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5.試題解答是否正確無誤。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6.試題配分是否正確無誤。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7.判斷英語聽力檔案是否清晰，且與題目相符。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(二)命題教師與審題教師對於爭議性的題目，無法取得共識時，得提交學年（領域）召集人進行複閱，且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保有最後審核修訂權，以維護學生權益。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(三)召開審題會議，審題老師進行試卷審題工作，並提供相關的回饋與建議，且於評量日兩週前至校務行政統/題庫管理模組完成審卷事宜。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(四)命題老師檢視審卷內容進行修正，並再次確認試卷是否還存在任何疑義之處，修正後重新上傳試卷及試卷答案於校務行政統/題庫管理模組，以完成命題後續相關事宜。</w:t>
      </w:r>
    </w:p>
    <w:p w:rsidR="007120A7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肆、迴避及保密原則：</w:t>
      </w:r>
    </w:p>
    <w:p w:rsidR="0045798F" w:rsidRDefault="0045798F" w:rsidP="007120A7">
      <w:pPr>
        <w:ind w:leftChars="200" w:left="480" w:firstLineChars="200" w:firstLine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子女就讀本校之教師，除了迴避任教子女外，排定命題或審題時亦應迴避子女就讀的年級，避免子女的評量成績受到質疑。若命題或審題教師子女就讀接受評量之班級，或有其他需迴避情形，應主動告知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、領域或學年召集人，並另行安排其他教師擔任工作。如未遵守保密原則，經查察屬實，則依公立高級中等以下學校教師成績考核辦法處理。</w:t>
      </w:r>
    </w:p>
    <w:p w:rsidR="0045798F" w:rsidRDefault="0045798F" w:rsidP="00FC421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一、迴避原則：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(一)命審題教師及印製與保管等試務人員遇須迴避情形時，應於工作分配時主動向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、領域或學年召集人提出，確實遵循迴避原則。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(二)如學校受限於教師編制，在命審題人員無法遵從迴避原則之情況下，得授由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安排調整；教師仍應依教師專業知能及專業倫理，維護評量之公平性，恪遵保密原則。</w:t>
      </w:r>
    </w:p>
    <w:p w:rsidR="0045798F" w:rsidRDefault="0045798F" w:rsidP="00FC421D">
      <w:pPr>
        <w:spacing w:beforeLines="50" w:before="180"/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二、保密原則：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(一)試卷完成後交由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審查、印製、保管，命題及審題教師不得將試題流出或提前讓學生預習。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(二)命題及審題教師須注意試題之保密性，於公用電腦進行命審題作業時，切勿將試題儲存於開放可存取的儲存設備或網路空間。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(三)命題及審題教師應妥善存放試題資料，以防試題外洩，且本校全體教職員工，皆應嚴守評量試題之保密性，以維護學生評量成績之公平性。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伍、作業流程：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5798F" w:rsidTr="00FC421D">
        <w:trPr>
          <w:trHeight w:val="6998"/>
        </w:trPr>
        <w:tc>
          <w:tcPr>
            <w:tcW w:w="1129" w:type="dxa"/>
            <w:vAlign w:val="center"/>
          </w:tcPr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命題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一、命題應秉持專業，依據課程教學計畫進度、範圍及課網規定進行命題，並試題內容兼顧知識、理解、應用、分析、綜合、評鑑等層面。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二、命題時不得直接使用題庫或引用坊間試題，並避免與考古題雷同，以維護試題品質與適性。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三、命題務必兼顧難易度、鑑別度及適當的配分，並兼顧學生作答之時間。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四、試題敘述應簡潔明確，並符合學生認知程度並融入素養導向及生活情境。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五、試題應避免含有性別歧視、族群歧視或其他意識形態等爭議性題目。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六、避免有爭論的答案出現、避免直接抄襲課本某句話。七、試題（或選項）中，宜避免有暗示性的答案。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八、命題教師應妥善存放試題資料，以防試題外洩，且本校全體教職員工，皆應嚴守評量試題之保密，以維護學生評量成績之公平性。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九、由命題教師親自於評量日兩週前將試卷、英語聽力電子檔(Word、PDF及mp3檔)繳交至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="00FC421D">
              <w:rPr>
                <w:rFonts w:ascii="標楷體" w:eastAsia="標楷體" w:hAnsi="標楷體" w:hint="eastAsia"/>
              </w:rPr>
              <w:t>教</w:t>
            </w:r>
            <w:r w:rsidR="00FC421D">
              <w:rPr>
                <w:rFonts w:ascii="標楷體" w:eastAsia="標楷體" w:hAnsi="標楷體" w:hint="eastAsia"/>
              </w:rPr>
              <w:t>務</w:t>
            </w:r>
            <w:r w:rsidR="00FC421D">
              <w:rPr>
                <w:rFonts w:ascii="標楷體" w:eastAsia="標楷體" w:hAnsi="標楷體" w:hint="eastAsia"/>
              </w:rPr>
              <w:t>組</w:t>
            </w:r>
            <w:r w:rsidR="00FC421D" w:rsidRPr="0045798F">
              <w:rPr>
                <w:rFonts w:ascii="標楷體" w:eastAsia="標楷體" w:hAnsi="標楷體" w:hint="eastAsia"/>
              </w:rPr>
              <w:t>，並將試卷及試卷答案上傳至</w:t>
            </w:r>
            <w:r w:rsidR="00BA1C07">
              <w:rPr>
                <w:rFonts w:ascii="標楷體" w:eastAsia="標楷體" w:hAnsi="標楷體" w:hint="eastAsia"/>
              </w:rPr>
              <w:t>教務組</w:t>
            </w:r>
            <w:r w:rsidR="00FC421D">
              <w:rPr>
                <w:rFonts w:ascii="標楷體" w:eastAsia="標楷體" w:hAnsi="標楷體" w:hint="eastAsia"/>
              </w:rPr>
              <w:t>雲端系統。</w:t>
            </w:r>
          </w:p>
        </w:tc>
      </w:tr>
      <w:tr w:rsidR="0045798F" w:rsidTr="00FC421D">
        <w:tc>
          <w:tcPr>
            <w:tcW w:w="1129" w:type="dxa"/>
            <w:vAlign w:val="center"/>
          </w:tcPr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審題</w:t>
            </w:r>
          </w:p>
        </w:tc>
        <w:tc>
          <w:tcPr>
            <w:tcW w:w="7167" w:type="dxa"/>
            <w:vAlign w:val="center"/>
          </w:tcPr>
          <w:p w:rsidR="0045798F" w:rsidRDefault="0045798F" w:rsidP="00FC421D">
            <w:pPr>
              <w:spacing w:beforeLines="50" w:before="1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一、審題教師依據下列原則，進行審核：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(一)命題範圍應符合教學進度。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(二)試題的敘述應清楚，力求選項完整無誤，避免錯別字。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(三)判斷題目內容的難易度是否適當。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(四)檢查原稿附圖是否清晰易判讀，且配合題意。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(五)試題解答是否正確無誤。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(六)試題配分是否正確無誤。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(七)判斷英語聽力檔案是否清晰，且與題目相符。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二、命題教師與審題教師對於爭議性的題目，無法取得共識時，得提交學年（領域）召集人進行複閱，且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保有最後審核修訂權，以維護學生權益。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三、召開審題會議，審題老師進行試卷審題工作，並提供相關的回饋與建議，且於評量日兩週前至校務行政統/題庫管理模組完成審卷事宜。</w:t>
            </w:r>
          </w:p>
          <w:p w:rsidR="00FC421D" w:rsidRDefault="0045798F" w:rsidP="00FC421D">
            <w:pPr>
              <w:spacing w:afterLines="50" w:after="180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45798F">
              <w:rPr>
                <w:rFonts w:ascii="標楷體" w:eastAsia="標楷體" w:hAnsi="標楷體" w:hint="eastAsia"/>
              </w:rPr>
              <w:t>四、命題老師檢視審卷內容進行修正，並再次確認試卷是否還存在任何疑義之處，修正後重新上傳試卷及試卷答案於校務行政統/題庫管理模組，以完成命題後續相關事宜。</w:t>
            </w:r>
          </w:p>
        </w:tc>
      </w:tr>
      <w:tr w:rsidR="0045798F" w:rsidTr="00FC421D">
        <w:trPr>
          <w:trHeight w:val="2400"/>
        </w:trPr>
        <w:tc>
          <w:tcPr>
            <w:tcW w:w="1129" w:type="dxa"/>
            <w:vAlign w:val="center"/>
          </w:tcPr>
          <w:p w:rsidR="00FC421D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繳交</w:t>
            </w:r>
          </w:p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試題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FC421D">
        <w:trPr>
          <w:trHeight w:val="2675"/>
        </w:trPr>
        <w:tc>
          <w:tcPr>
            <w:tcW w:w="1129" w:type="dxa"/>
            <w:vAlign w:val="center"/>
          </w:tcPr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印製與保管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</w:t>
            </w:r>
            <w:r w:rsidR="00FC421D">
              <w:rPr>
                <w:rFonts w:ascii="標楷體" w:eastAsia="標楷體" w:hAnsi="標楷體" w:hint="eastAsia"/>
              </w:rPr>
              <w:t>總務處</w:t>
            </w:r>
            <w:r w:rsidR="00FC421D" w:rsidRPr="0045798F">
              <w:rPr>
                <w:rFonts w:ascii="標楷體" w:eastAsia="標楷體" w:hAnsi="標楷體" w:hint="eastAsia"/>
              </w:rPr>
              <w:t>印製考卷</w:t>
            </w:r>
            <w:r w:rsidR="00FC421D">
              <w:rPr>
                <w:rFonts w:ascii="標楷體" w:eastAsia="標楷體" w:hAnsi="標楷體" w:hint="eastAsia"/>
              </w:rPr>
              <w:t>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FC421D">
        <w:trPr>
          <w:trHeight w:val="1976"/>
        </w:trPr>
        <w:tc>
          <w:tcPr>
            <w:tcW w:w="1129" w:type="dxa"/>
            <w:vAlign w:val="center"/>
          </w:tcPr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監考與收卷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一、監考教師親自至指定時間、地點領取試卷。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二、檢查試卷數是否與考生數相同，收卷清點無誤後學生方可離開。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三、考試完畢後，務必親自將試卷送至批閱試卷人員，嚴禁託人代領或轉交。</w:t>
            </w:r>
          </w:p>
        </w:tc>
      </w:tr>
      <w:tr w:rsidR="0045798F" w:rsidTr="00FC421D">
        <w:trPr>
          <w:trHeight w:val="1267"/>
        </w:trPr>
        <w:tc>
          <w:tcPr>
            <w:tcW w:w="1129" w:type="dxa"/>
            <w:vAlign w:val="center"/>
          </w:tcPr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成績統計分析及應用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一、教師透過評量結果瞭解學生階段性學習成效。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二、老師得公告說明學生分數之分布情形，但不得公開呈現個別學生在班級及學校排名。</w:t>
            </w:r>
          </w:p>
        </w:tc>
      </w:tr>
      <w:tr w:rsidR="0045798F" w:rsidTr="00FC421D">
        <w:trPr>
          <w:trHeight w:val="1980"/>
        </w:trPr>
        <w:tc>
          <w:tcPr>
            <w:tcW w:w="1129" w:type="dxa"/>
            <w:vAlign w:val="center"/>
          </w:tcPr>
          <w:p w:rsidR="00FC421D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評量</w:t>
            </w:r>
          </w:p>
          <w:p w:rsidR="00FC421D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命題</w:t>
            </w:r>
          </w:p>
          <w:p w:rsidR="00FC421D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反思</w:t>
            </w:r>
          </w:p>
          <w:p w:rsidR="0045798F" w:rsidRDefault="0045798F" w:rsidP="00FC421D">
            <w:pPr>
              <w:jc w:val="center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策進</w:t>
            </w:r>
          </w:p>
        </w:tc>
        <w:tc>
          <w:tcPr>
            <w:tcW w:w="7167" w:type="dxa"/>
            <w:vAlign w:val="center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一、參考評量結果，反思檢討試題鑑別度及難易度，持續精進評量命題品質。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二、教師根據評量結果改善課程設計與教學實施。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三、定期評量實施後，教師依評量結果進行學習輔導落實補救教學工作，以協助學習弱勢學生提升學習成效。</w:t>
            </w:r>
          </w:p>
        </w:tc>
      </w:tr>
    </w:tbl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陸、本實施要點經課程發展委員會會議通過實施，修正時亦同。</w:t>
      </w:r>
    </w:p>
    <w:p w:rsidR="00085C13" w:rsidRDefault="00085C13" w:rsidP="001A0110">
      <w:pPr>
        <w:spacing w:beforeLines="50" w:before="180"/>
        <w:rPr>
          <w:rFonts w:ascii="標楷體" w:eastAsia="標楷體" w:hAnsi="標楷體"/>
        </w:rPr>
      </w:pPr>
    </w:p>
    <w:p w:rsidR="00085C13" w:rsidRDefault="00085C13" w:rsidP="001A0110">
      <w:pPr>
        <w:spacing w:beforeLines="50" w:before="180"/>
        <w:rPr>
          <w:rFonts w:ascii="標楷體" w:eastAsia="標楷體" w:hAnsi="標楷體"/>
        </w:rPr>
      </w:pPr>
    </w:p>
    <w:p w:rsidR="00085C13" w:rsidRDefault="004A037D" w:rsidP="001A0110">
      <w:pPr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承辦人： </w:t>
      </w: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 w:hint="eastAsia"/>
        </w:rPr>
        <w:t xml:space="preserve">教導處： 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 w:hint="eastAsia"/>
        </w:rPr>
        <w:t>校長：</w:t>
      </w:r>
    </w:p>
    <w:p w:rsidR="00FC421D" w:rsidRDefault="00FC421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C421D" w:rsidRPr="00994092" w:rsidRDefault="00FC421D" w:rsidP="00FC42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</w:p>
    <w:p w:rsidR="00FC421D" w:rsidRPr="00FC421D" w:rsidRDefault="00FC421D" w:rsidP="00FC421D">
      <w:pPr>
        <w:autoSpaceDE w:val="0"/>
        <w:autoSpaceDN w:val="0"/>
        <w:adjustRightInd w:val="0"/>
        <w:jc w:val="center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國民中小學學生學習評量及作業使用生成式人工智慧注意事項</w:t>
      </w:r>
    </w:p>
    <w:p w:rsidR="00FC421D" w:rsidRPr="00FC421D" w:rsidRDefault="00FC421D" w:rsidP="00FC421D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教育部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114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年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3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月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3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日臺教授國部字第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1145500214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號函</w:t>
      </w:r>
    </w:p>
    <w:p w:rsidR="00FC421D" w:rsidRPr="00FC421D" w:rsidRDefault="00FC421D" w:rsidP="00FC421D">
      <w:pPr>
        <w:autoSpaceDE w:val="0"/>
        <w:autoSpaceDN w:val="0"/>
        <w:adjustRightInd w:val="0"/>
        <w:spacing w:beforeLines="50" w:before="180" w:line="400" w:lineRule="exact"/>
        <w:ind w:left="480" w:hangingChars="200" w:hanging="48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一、教育部已於「中小學數位教學指引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3.0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版」中訂定「應用生成式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輔助教學之說明」，提供教師與學生使用生成式人工智慧（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Generative Artificial Intelligence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，以下簡稱生成式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）一般性規範建議，教師引導學生應用生成式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進行學習評量或作業時，應參考前開指引及本注意事項。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beforeLines="50" w:before="180" w:line="400" w:lineRule="exact"/>
        <w:ind w:left="480" w:hangingChars="200" w:hanging="48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二、教師應認識及避免生成式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在安全、人權、隱私、倫理及法律等方面之潛在風險，並審視其生成之內容具備多元觀點，以確保對於不同文化或價值觀保持客觀公正之態度。教學過程中建議引導學生依下列原則運用資料：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200" w:left="1200" w:hangingChars="300" w:hanging="72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（一）對於生成式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生成之內容應作為參考資料，並引導學生辨識資訊來源及運用可信賴之網站或文獻多方查證，以確保資料正確性及真實性。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200" w:left="1200" w:hangingChars="300" w:hanging="72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（二）教導學生於使用生成式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過程中，僅分享非關隱私之必要資料，避免將自己及他人之個人資訊、未公開文件或機密資料等內容輸入到生成式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200" w:left="1200" w:hangingChars="300" w:hanging="72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（三）使用生成式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時，於該章節或產出作品標註由生成式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產出內容、備註所使用之生成式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工具名稱，並教導學生將生成過程以截圖、網頁連結或儲存等方式記錄，以了解學生學習歷程並證明生成式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僅是創作過程工具之一。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200" w:left="1200" w:hangingChars="300" w:hanging="72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（四）善用生成式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協作與共學，增強個人思考能力之及創造力，並透過自身之思考來完成教學或學習；與其對話應注意人際溝通禮節，使用禮貌且尊重之用語。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beforeLines="50" w:before="180" w:line="400" w:lineRule="exact"/>
        <w:ind w:left="480" w:hangingChars="200" w:hanging="48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三、教師以自身之教育專業設計及執行課程，可使用生成式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工具，輔佐設計符應教學目標之教學材料及教學策略建議，不宜過度依賴生成式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工具。建議依下列原則引導學生使用生成式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：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200" w:left="1200" w:hangingChars="300" w:hanging="72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（一）使用於教學輔助方面：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500" w:left="1440" w:hangingChars="100" w:hanging="24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/>
          <w:color w:val="000000"/>
          <w:kern w:val="0"/>
          <w:szCs w:val="24"/>
        </w:rPr>
        <w:t>1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、教師可利用生成式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輔助訂定評量規準，並應對學生說明評量規準，幫助學生掌握評量重點，以提升學習成效。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FC421D" w:rsidRPr="00FC421D" w:rsidRDefault="00FC421D" w:rsidP="00FC421D">
      <w:pPr>
        <w:autoSpaceDE w:val="0"/>
        <w:autoSpaceDN w:val="0"/>
        <w:adjustRightInd w:val="0"/>
        <w:spacing w:line="400" w:lineRule="exact"/>
        <w:ind w:leftChars="500" w:left="1440" w:hangingChars="100" w:hanging="240"/>
        <w:rPr>
          <w:rFonts w:ascii="標楷體" w:eastAsia="標楷體" w:hAnsi="Calibri" w:cs="標楷體"/>
          <w:color w:val="000000"/>
          <w:kern w:val="0"/>
          <w:szCs w:val="24"/>
        </w:rPr>
      </w:pPr>
      <w:r w:rsidRPr="00FC421D">
        <w:rPr>
          <w:rFonts w:ascii="標楷體" w:eastAsia="標楷體" w:hAnsi="Calibri" w:cs="標楷體"/>
          <w:color w:val="000000"/>
          <w:kern w:val="0"/>
          <w:szCs w:val="24"/>
        </w:rPr>
        <w:t>2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、教師使用生成式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進行教學時，宜增強教學目標之訂定，並增加問題思辨性及學習評量深度，讓學生無法僅依靠生成式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>AI</w:t>
      </w:r>
      <w:r w:rsidRPr="00FC421D">
        <w:rPr>
          <w:rFonts w:ascii="標楷體" w:eastAsia="標楷體" w:hAnsi="Calibri" w:cs="標楷體" w:hint="eastAsia"/>
          <w:color w:val="000000"/>
          <w:kern w:val="0"/>
          <w:szCs w:val="24"/>
        </w:rPr>
        <w:t>產生答案，進而激發學生高層次思考、創造力及學習動機。</w:t>
      </w:r>
      <w:r w:rsidRPr="00FC421D">
        <w:rPr>
          <w:rFonts w:ascii="標楷體" w:eastAsia="標楷體" w:hAnsi="Calibri" w:cs="標楷體"/>
          <w:color w:val="000000"/>
          <w:kern w:val="0"/>
          <w:szCs w:val="24"/>
        </w:rPr>
        <w:t xml:space="preserve"> </w:t>
      </w:r>
    </w:p>
    <w:p w:rsidR="0045798F" w:rsidRPr="00FC421D" w:rsidRDefault="0045798F">
      <w:pPr>
        <w:rPr>
          <w:rFonts w:ascii="標楷體" w:eastAsia="標楷體" w:hAnsi="標楷體"/>
          <w:szCs w:val="24"/>
        </w:rPr>
      </w:pPr>
    </w:p>
    <w:sectPr w:rsidR="0045798F" w:rsidRPr="00FC42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1E" w:rsidRDefault="0018651E" w:rsidP="001A0110">
      <w:r>
        <w:separator/>
      </w:r>
    </w:p>
  </w:endnote>
  <w:endnote w:type="continuationSeparator" w:id="0">
    <w:p w:rsidR="0018651E" w:rsidRDefault="0018651E" w:rsidP="001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1E" w:rsidRDefault="0018651E" w:rsidP="001A0110">
      <w:r>
        <w:separator/>
      </w:r>
    </w:p>
  </w:footnote>
  <w:footnote w:type="continuationSeparator" w:id="0">
    <w:p w:rsidR="0018651E" w:rsidRDefault="0018651E" w:rsidP="001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85C13"/>
    <w:rsid w:val="0018651E"/>
    <w:rsid w:val="001A0110"/>
    <w:rsid w:val="0045798F"/>
    <w:rsid w:val="004A037D"/>
    <w:rsid w:val="00697789"/>
    <w:rsid w:val="007120A7"/>
    <w:rsid w:val="00BA1C07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6458A"/>
  <w15:chartTrackingRefBased/>
  <w15:docId w15:val="{5207D71B-DBC2-49E4-A687-EA751BD0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9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01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0110"/>
    <w:rPr>
      <w:sz w:val="20"/>
      <w:szCs w:val="20"/>
    </w:rPr>
  </w:style>
  <w:style w:type="paragraph" w:customStyle="1" w:styleId="Default">
    <w:name w:val="Default"/>
    <w:rsid w:val="00FC42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2025-05-26T04:35:00Z</dcterms:created>
  <dcterms:modified xsi:type="dcterms:W3CDTF">2025-05-26T04:46:00Z</dcterms:modified>
</cp:coreProperties>
</file>